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396B" w:rsidRP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  <w:r w:rsidRPr="00F9396B">
        <w:rPr>
          <w:rFonts w:ascii="Times New Roman" w:hAnsi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F9396B" w:rsidRP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  <w:r w:rsidRPr="00F9396B">
        <w:rPr>
          <w:rFonts w:ascii="Times New Roman" w:hAnsi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F9396B" w:rsidRP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vertAlign w:val="superscript"/>
        </w:rPr>
      </w:pPr>
      <w:r w:rsidRPr="00F9396B">
        <w:rPr>
          <w:rFonts w:ascii="Times New Roman" w:hAnsi="Times New Roman"/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F9396B" w:rsidRDefault="00F9396B" w:rsidP="00F9396B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</w:p>
    <w:tbl>
      <w:tblPr>
        <w:tblW w:w="4253" w:type="dxa"/>
        <w:tblInd w:w="6487" w:type="dxa"/>
        <w:tblLook w:val="01E0" w:firstRow="1" w:lastRow="1" w:firstColumn="1" w:lastColumn="1" w:noHBand="0" w:noVBand="0"/>
      </w:tblPr>
      <w:tblGrid>
        <w:gridCol w:w="4253"/>
      </w:tblGrid>
      <w:tr w:rsidR="00F9396B" w:rsidTr="0034713D">
        <w:tc>
          <w:tcPr>
            <w:tcW w:w="4253" w:type="dxa"/>
          </w:tcPr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>УТВЕРЖДЕНО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>Председатель УМС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>факультета государственной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</w:rPr>
            </w:pPr>
            <w:r w:rsidRPr="0034713D">
              <w:rPr>
                <w:rFonts w:ascii="Times New Roman" w:hAnsi="Times New Roman"/>
                <w:b/>
                <w:bCs/>
              </w:rPr>
              <w:t>культурной политики</w:t>
            </w:r>
            <w:r w:rsidRPr="0034713D">
              <w:rPr>
                <w:rFonts w:ascii="Times New Roman" w:hAnsi="Times New Roman"/>
              </w:rPr>
              <w:t xml:space="preserve"> </w:t>
            </w:r>
          </w:p>
          <w:p w:rsidR="0034713D" w:rsidRPr="0034713D" w:rsidRDefault="0034713D" w:rsidP="0034713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34713D">
              <w:rPr>
                <w:rFonts w:ascii="Times New Roman" w:hAnsi="Times New Roman"/>
                <w:b/>
                <w:bCs/>
              </w:rPr>
              <w:t xml:space="preserve">А.Ю. </w:t>
            </w:r>
            <w:proofErr w:type="spellStart"/>
            <w:r w:rsidRPr="0034713D">
              <w:rPr>
                <w:rFonts w:ascii="Times New Roman" w:hAnsi="Times New Roman"/>
                <w:b/>
                <w:bCs/>
              </w:rPr>
              <w:t>Единак</w:t>
            </w:r>
            <w:proofErr w:type="spellEnd"/>
            <w:r w:rsidRPr="0034713D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4713D" w:rsidRPr="00F52A8D" w:rsidRDefault="0034713D" w:rsidP="0034713D">
            <w:pPr>
              <w:rPr>
                <w:b/>
                <w:bCs/>
              </w:rPr>
            </w:pPr>
          </w:p>
          <w:p w:rsidR="00F9396B" w:rsidRDefault="00F9396B" w:rsidP="00DE075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9396B" w:rsidRDefault="00F9396B" w:rsidP="00F93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47CB" w:rsidRDefault="00CF47CB" w:rsidP="00F93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МЕТОДИЧЕСКИЕ РЕКОМЕНДАЦИИ</w:t>
      </w:r>
    </w:p>
    <w:p w:rsidR="00F9396B" w:rsidRDefault="00F9396B" w:rsidP="00F939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ДИСЦИПЛИНЫ (МОДУЛЯ)</w:t>
      </w:r>
    </w:p>
    <w:p w:rsidR="00F9396B" w:rsidRDefault="00F9396B" w:rsidP="00F939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ТЕОРИЯ И ПРАКТИКА </w:t>
      </w:r>
      <w:proofErr w:type="gramStart"/>
      <w:r>
        <w:rPr>
          <w:rFonts w:ascii="Times New Roman" w:hAnsi="Times New Roman"/>
          <w:b/>
          <w:sz w:val="24"/>
          <w:szCs w:val="24"/>
        </w:rPr>
        <w:t>И  ГОСУДАРСТВЕННОЙ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КУЛЬТУРНОЙ  ПОЛИТИКИ</w:t>
      </w:r>
      <w:r w:rsidR="00D065EA">
        <w:rPr>
          <w:rFonts w:ascii="Times New Roman" w:hAnsi="Times New Roman"/>
          <w:b/>
          <w:sz w:val="24"/>
          <w:szCs w:val="24"/>
        </w:rPr>
        <w:t>: ОТЕЧЕСТВЕННЫЙ И ЗАРУБЕЖНЫЙ ОПЫТ</w:t>
      </w:r>
    </w:p>
    <w:p w:rsidR="00F9396B" w:rsidRDefault="00F9396B" w:rsidP="00F9396B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F9396B" w:rsidRDefault="00F9396B" w:rsidP="00F9396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713D" w:rsidRPr="0034713D" w:rsidRDefault="0034713D" w:rsidP="0034713D">
      <w:pPr>
        <w:spacing w:after="0" w:line="240" w:lineRule="auto"/>
        <w:ind w:right="-284"/>
        <w:jc w:val="center"/>
        <w:rPr>
          <w:rFonts w:ascii="Times New Roman" w:hAnsi="Times New Roman"/>
          <w:b/>
          <w:bCs/>
        </w:rPr>
      </w:pPr>
      <w:r w:rsidRPr="0034713D">
        <w:rPr>
          <w:rFonts w:ascii="Times New Roman" w:hAnsi="Times New Roman"/>
          <w:b/>
          <w:bCs/>
        </w:rPr>
        <w:t>Название и код направления подготовки</w:t>
      </w:r>
    </w:p>
    <w:p w:rsidR="0034713D" w:rsidRPr="0034713D" w:rsidRDefault="0034713D" w:rsidP="0034713D">
      <w:pPr>
        <w:spacing w:after="0" w:line="240" w:lineRule="auto"/>
        <w:ind w:right="-284"/>
        <w:jc w:val="center"/>
        <w:rPr>
          <w:rFonts w:ascii="Times New Roman" w:hAnsi="Times New Roman"/>
        </w:rPr>
      </w:pPr>
      <w:r w:rsidRPr="0034713D">
        <w:rPr>
          <w:rFonts w:ascii="Times New Roman" w:hAnsi="Times New Roman"/>
        </w:rPr>
        <w:t>51.04.03 Социально-культурная деятельность</w:t>
      </w:r>
    </w:p>
    <w:p w:rsidR="0034713D" w:rsidRPr="0034713D" w:rsidRDefault="0034713D" w:rsidP="0034713D">
      <w:pPr>
        <w:spacing w:after="0" w:line="240" w:lineRule="auto"/>
        <w:ind w:left="678" w:right="141" w:firstLine="724"/>
        <w:jc w:val="center"/>
        <w:rPr>
          <w:rFonts w:ascii="Times New Roman" w:hAnsi="Times New Roman"/>
        </w:rPr>
      </w:pPr>
      <w:r w:rsidRPr="0034713D">
        <w:rPr>
          <w:rFonts w:ascii="Times New Roman" w:hAnsi="Times New Roman"/>
          <w:b/>
        </w:rPr>
        <w:t>Про</w:t>
      </w:r>
      <w:r w:rsidR="00FF194C">
        <w:rPr>
          <w:rFonts w:ascii="Times New Roman" w:hAnsi="Times New Roman"/>
          <w:b/>
        </w:rPr>
        <w:t>грамма</w:t>
      </w:r>
      <w:r w:rsidRPr="0034713D">
        <w:rPr>
          <w:rFonts w:ascii="Times New Roman" w:hAnsi="Times New Roman"/>
          <w:b/>
        </w:rPr>
        <w:t xml:space="preserve"> подготовки</w:t>
      </w:r>
      <w:r w:rsidRPr="0034713D">
        <w:rPr>
          <w:rFonts w:ascii="Times New Roman" w:hAnsi="Times New Roman"/>
        </w:rPr>
        <w:t xml:space="preserve"> Менеджмент в сфере государственной культурной политики</w:t>
      </w:r>
    </w:p>
    <w:p w:rsidR="0034713D" w:rsidRPr="0034713D" w:rsidRDefault="0034713D" w:rsidP="0034713D">
      <w:pPr>
        <w:spacing w:after="0" w:line="240" w:lineRule="auto"/>
        <w:ind w:left="296" w:right="85"/>
        <w:jc w:val="center"/>
        <w:rPr>
          <w:rFonts w:ascii="Times New Roman" w:hAnsi="Times New Roman"/>
        </w:rPr>
      </w:pPr>
      <w:r w:rsidRPr="0034713D">
        <w:rPr>
          <w:rFonts w:ascii="Times New Roman" w:hAnsi="Times New Roman"/>
          <w:b/>
          <w:bCs/>
        </w:rPr>
        <w:t>Уровень квалификации</w:t>
      </w:r>
      <w:r w:rsidRPr="0034713D">
        <w:rPr>
          <w:rFonts w:ascii="Times New Roman" w:hAnsi="Times New Roman"/>
        </w:rPr>
        <w:t xml:space="preserve"> магистр</w:t>
      </w: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bCs/>
        </w:rPr>
      </w:pPr>
      <w:r w:rsidRPr="0034713D">
        <w:rPr>
          <w:rFonts w:ascii="Times New Roman" w:hAnsi="Times New Roman"/>
          <w:b/>
        </w:rPr>
        <w:t>Форма обучения</w:t>
      </w:r>
      <w:r w:rsidRPr="0034713D">
        <w:rPr>
          <w:rFonts w:ascii="Times New Roman" w:hAnsi="Times New Roman"/>
        </w:rPr>
        <w:t xml:space="preserve"> очная, заочная</w:t>
      </w:r>
    </w:p>
    <w:p w:rsidR="0034713D" w:rsidRPr="0034713D" w:rsidRDefault="0034713D" w:rsidP="0034713D">
      <w:p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i/>
        </w:rPr>
      </w:pPr>
      <w:r w:rsidRPr="0034713D">
        <w:rPr>
          <w:rFonts w:ascii="Times New Roman" w:hAnsi="Times New Roman"/>
          <w:i/>
        </w:rPr>
        <w:t>(РПД адаптирована для лиц</w:t>
      </w: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i/>
        </w:rPr>
      </w:pPr>
      <w:r w:rsidRPr="0034713D">
        <w:rPr>
          <w:rFonts w:ascii="Times New Roman" w:hAnsi="Times New Roman"/>
          <w:i/>
        </w:rPr>
        <w:t>с ограниченными возможностями</w:t>
      </w:r>
    </w:p>
    <w:p w:rsidR="0034713D" w:rsidRPr="0034713D" w:rsidRDefault="0034713D" w:rsidP="0034713D">
      <w:pPr>
        <w:spacing w:after="0" w:line="240" w:lineRule="auto"/>
        <w:jc w:val="center"/>
        <w:rPr>
          <w:rFonts w:ascii="Times New Roman" w:hAnsi="Times New Roman"/>
          <w:i/>
        </w:rPr>
      </w:pPr>
      <w:r w:rsidRPr="0034713D">
        <w:rPr>
          <w:rFonts w:ascii="Times New Roman" w:hAnsi="Times New Roman"/>
          <w:i/>
        </w:rPr>
        <w:t xml:space="preserve"> здоровья и инвалидов)</w:t>
      </w: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34713D" w:rsidRPr="0034713D" w:rsidRDefault="0034713D" w:rsidP="0034713D">
      <w:pPr>
        <w:tabs>
          <w:tab w:val="left" w:pos="708"/>
        </w:tabs>
        <w:spacing w:after="0" w:line="240" w:lineRule="auto"/>
        <w:rPr>
          <w:rFonts w:ascii="Times New Roman" w:hAnsi="Times New Roman"/>
          <w:b/>
          <w:bCs/>
          <w:lang w:eastAsia="zh-CN"/>
        </w:rPr>
      </w:pPr>
    </w:p>
    <w:p w:rsidR="00D065EA" w:rsidRDefault="00D065EA" w:rsidP="0034713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713D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ЦЕЛИ И ЗАДАЧИ ОСВОЕНИЯ ДИСЦИПЛИНЫ</w:t>
      </w:r>
    </w:p>
    <w:p w:rsidR="00D065EA" w:rsidRDefault="00D065EA" w:rsidP="00D065E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F9396B" w:rsidRDefault="00D065EA" w:rsidP="00D065E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Цели: </w:t>
      </w:r>
      <w:r>
        <w:rPr>
          <w:rFonts w:ascii="Times New Roman" w:hAnsi="Times New Roman"/>
          <w:color w:val="000000"/>
          <w:sz w:val="24"/>
          <w:szCs w:val="24"/>
        </w:rPr>
        <w:t>формирование у магистрантов</w:t>
      </w:r>
      <w:r w:rsidR="00F9396B">
        <w:rPr>
          <w:rFonts w:ascii="Times New Roman" w:hAnsi="Times New Roman"/>
          <w:color w:val="000000"/>
          <w:sz w:val="24"/>
          <w:szCs w:val="24"/>
        </w:rPr>
        <w:t xml:space="preserve"> знаний основ гражданского и процессуального законодательства в области государственной культурной политики, наиболее важных инструментов правового регулирования в области культуры, а также умения применять  знания </w:t>
      </w:r>
      <w:r w:rsidR="00F9396B">
        <w:rPr>
          <w:rFonts w:ascii="Times New Roman" w:hAnsi="Times New Roman"/>
          <w:sz w:val="24"/>
          <w:szCs w:val="24"/>
        </w:rPr>
        <w:t>передового опыта учреждений социально</w:t>
      </w:r>
      <w:r w:rsidR="00F9396B">
        <w:rPr>
          <w:rFonts w:ascii="Times New Roman" w:hAnsi="Times New Roman"/>
          <w:sz w:val="24"/>
          <w:szCs w:val="24"/>
        </w:rPr>
        <w:softHyphen/>
        <w:t xml:space="preserve"> культурной сферы по реализации задач федеральной и региональной культурной политики</w:t>
      </w:r>
      <w:r w:rsidR="00F9396B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="00F9396B">
        <w:rPr>
          <w:rFonts w:ascii="Times New Roman" w:hAnsi="Times New Roman"/>
          <w:color w:val="000000"/>
          <w:sz w:val="24"/>
          <w:szCs w:val="24"/>
        </w:rPr>
        <w:t>в исследовательской и практической деятельности.</w:t>
      </w:r>
      <w:r w:rsidR="00F9396B">
        <w:rPr>
          <w:color w:val="000000"/>
          <w:szCs w:val="28"/>
        </w:rPr>
        <w:t xml:space="preserve"> 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Задачи курса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: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ознакомить студентов с содержанием понятия «культурная политика», ее основными целями, задачами и спецификой становления и современного развития культурной политики РФ;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изучить основные проблемы и стратегии социокультурного управления в России и регионах, представить роль культуры как главного смыслообразующего интегратора процессов формирования национальной идентичности и показать национально-этнические аспекты культурной политики регионов;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развить навыки самостоятельного анализа культурных процессов и моделирования стратегий социокультурного управления;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– выработка умений использовать полученные в ходе изучения курса знания в профессиональной деятельности.</w:t>
      </w:r>
    </w:p>
    <w:p w:rsidR="00F9396B" w:rsidRDefault="00F9396B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В рамках курса предполагается рассмотреть стратегию социокультурного управления и культурные процессы последних десятилетий в российском обществе. </w:t>
      </w:r>
    </w:p>
    <w:p w:rsidR="00D25F79" w:rsidRPr="00351AF9" w:rsidRDefault="00D25F79" w:rsidP="00D25F79">
      <w:pPr>
        <w:jc w:val="both"/>
        <w:rPr>
          <w:rFonts w:ascii="Times New Roman" w:hAnsi="Times New Roman"/>
          <w:sz w:val="24"/>
          <w:szCs w:val="24"/>
        </w:rPr>
      </w:pPr>
    </w:p>
    <w:p w:rsid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УКАЗАНИЯ ПО ОСВОЕНИЮ ДИСЦИПЛИНЫ (МОДУЛЯ)</w:t>
      </w:r>
    </w:p>
    <w:p w:rsid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Планы семинарских/ практических занятий</w:t>
      </w:r>
    </w:p>
    <w:p w:rsid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876DBC" w:rsidRPr="0025453F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6</w:t>
      </w:r>
      <w:r w:rsidRPr="000B79C4">
        <w:rPr>
          <w:rFonts w:ascii="Times New Roman" w:hAnsi="Times New Roman"/>
          <w:b/>
          <w:color w:val="444444"/>
          <w:sz w:val="24"/>
          <w:szCs w:val="24"/>
          <w:lang w:eastAsia="ru-RU"/>
        </w:rPr>
        <w:t>. Субъекты и объекты культурной политики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.</w:t>
      </w:r>
      <w:r w:rsidRPr="0025453F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Культурная элита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как субъект культурной политики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left="0" w:right="150" w:firstLine="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Субъекты и </w:t>
      </w:r>
      <w:proofErr w:type="gramStart"/>
      <w:r w:rsidRPr="00646537">
        <w:rPr>
          <w:rFonts w:ascii="Times New Roman" w:hAnsi="Times New Roman"/>
        </w:rPr>
        <w:t>объекты культурной политики Потребности</w:t>
      </w:r>
      <w:proofErr w:type="gramEnd"/>
      <w:r w:rsidRPr="00646537">
        <w:rPr>
          <w:rFonts w:ascii="Times New Roman" w:hAnsi="Times New Roman"/>
        </w:rPr>
        <w:t xml:space="preserve"> и интересы: проблема взаимоотношений в свете культурной политики. 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Концепция интересов в сфере культуры в контексте проблем глобализации. 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Сохранение и развитие национальной картины мира и проблемы культурной политики. Баланс интересов. Толерантность. </w:t>
      </w:r>
    </w:p>
    <w:p w:rsidR="00876DBC" w:rsidRDefault="00876DBC" w:rsidP="00876DBC">
      <w:pPr>
        <w:pStyle w:val="a7"/>
        <w:numPr>
          <w:ilvl w:val="0"/>
          <w:numId w:val="5"/>
        </w:numPr>
        <w:spacing w:after="0" w:line="240" w:lineRule="auto"/>
        <w:ind w:left="0" w:right="150" w:firstLine="0"/>
        <w:jc w:val="both"/>
        <w:rPr>
          <w:rFonts w:ascii="Times New Roman" w:hAnsi="Times New Roman"/>
        </w:rPr>
      </w:pPr>
      <w:r w:rsidRPr="00646537">
        <w:rPr>
          <w:rFonts w:ascii="Times New Roman" w:hAnsi="Times New Roman"/>
        </w:rPr>
        <w:t xml:space="preserve">Функции субъектов Российской Федерации в стратегии социокультурного управления. Функции органов местного самоуправления в стратегии социокультурного управления. </w:t>
      </w:r>
    </w:p>
    <w:p w:rsidR="00876DBC" w:rsidRPr="00646537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</w:rPr>
        <w:t xml:space="preserve">Стратегия социокультурного управления региона как предмет политики. </w:t>
      </w:r>
    </w:p>
    <w:p w:rsidR="00876DBC" w:rsidRPr="00646537" w:rsidRDefault="00876DBC" w:rsidP="00876DBC">
      <w:pPr>
        <w:pStyle w:val="a7"/>
        <w:numPr>
          <w:ilvl w:val="0"/>
          <w:numId w:val="5"/>
        </w:num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646537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Культурная элита как субъект культурной политики. </w:t>
      </w:r>
    </w:p>
    <w:p w:rsidR="00876DBC" w:rsidRPr="00364FD3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7. Культурная политика и демократизация культурной сферы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1.Демократизация культурной сферы, вариативность ее развития.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2.Интеграция культурной сферы в рыночные отношения.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3.Массовая культура.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Многообразие субкультур.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5.Соотношение национальной, наднациональной и этнической культуры.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8. </w:t>
      </w:r>
      <w:r w:rsidRPr="009B3B1A"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Законодательные акты в сфере регу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лирования культурной политики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80552B">
        <w:rPr>
          <w:rFonts w:ascii="Times New Roman" w:hAnsi="Times New Roman"/>
          <w:sz w:val="24"/>
          <w:szCs w:val="24"/>
        </w:rPr>
        <w:t xml:space="preserve">Законодательство в сфере культуры Принципы и механизмы законодательной деятельности в сфере культуры.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0552B">
        <w:rPr>
          <w:rFonts w:ascii="Times New Roman" w:hAnsi="Times New Roman"/>
          <w:sz w:val="24"/>
          <w:szCs w:val="24"/>
        </w:rPr>
        <w:t xml:space="preserve">Закон РФ о культуре: основные положения.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80552B">
        <w:rPr>
          <w:rFonts w:ascii="Times New Roman" w:hAnsi="Times New Roman"/>
          <w:sz w:val="24"/>
          <w:szCs w:val="24"/>
        </w:rPr>
        <w:t xml:space="preserve">Органы и учреждения, реализующие культурную политику. Принципы и механизмы работы исполнительных органов в сфере культуры. Законодательная база культурной политики.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</w:t>
      </w:r>
      <w:r w:rsidRPr="0080552B">
        <w:rPr>
          <w:rFonts w:ascii="Times New Roman" w:hAnsi="Times New Roman"/>
          <w:sz w:val="24"/>
          <w:szCs w:val="24"/>
        </w:rPr>
        <w:t xml:space="preserve">Региональные стратегии социокультурного управления.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80552B">
        <w:rPr>
          <w:rFonts w:ascii="Times New Roman" w:hAnsi="Times New Roman"/>
          <w:sz w:val="24"/>
          <w:szCs w:val="24"/>
        </w:rPr>
        <w:t xml:space="preserve">Роль общественных советов, фондов, политических партий, негосударственных организаций, их взаимодействие с органами государственной, региональной и местной власти.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10. Основные подотрасли культурного комплекса. Поддержка художественного творчества. </w:t>
      </w:r>
      <w:proofErr w:type="spellStart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Культуроохранные</w:t>
      </w:r>
      <w:proofErr w:type="spellEnd"/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 технологии</w:t>
      </w:r>
    </w:p>
    <w:p w:rsidR="00876DBC" w:rsidRPr="00BB56A0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Арт-бизнес. Художественные галереи. Взаимоотношения владельцев галерей и живописцев. 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Развитие литературных жанров. 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Музыка как индустрия с различными областями – классической, легкой, рок-, поп-, народной и джазовой и т.д.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Образовательная, воспитательная, культурно-про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светительная роль музейного и библиотечного дела</w:t>
      </w: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в современной жизни.</w:t>
      </w:r>
    </w:p>
    <w:p w:rsidR="00876DBC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Значение театра</w:t>
      </w:r>
      <w:r w:rsidRPr="00BB56A0">
        <w:rPr>
          <w:rFonts w:ascii="Times New Roman" w:hAnsi="Times New Roman"/>
          <w:color w:val="444444"/>
          <w:sz w:val="24"/>
          <w:szCs w:val="24"/>
          <w:lang w:eastAsia="ru-RU"/>
        </w:rPr>
        <w:t>. Организационная концепция театра.</w:t>
      </w:r>
    </w:p>
    <w:p w:rsidR="00876DBC" w:rsidRPr="00BB56A0" w:rsidRDefault="00876DBC" w:rsidP="00876DBC">
      <w:pPr>
        <w:pStyle w:val="a7"/>
        <w:numPr>
          <w:ilvl w:val="0"/>
          <w:numId w:val="6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Телевидение и др. СМИ.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Тема 12. Виды государственной помощи 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>социально-культурным институтам</w:t>
      </w:r>
      <w:r w:rsidRPr="006F2708"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</w:p>
    <w:p w:rsidR="00876DBC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>Мировой опыт финансирования, поддержки и развития в сфере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культуры. </w:t>
      </w:r>
    </w:p>
    <w:p w:rsidR="00876DBC" w:rsidRPr="00D20CB1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Права и обязанности г</w:t>
      </w: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осударства в области культуры России. </w:t>
      </w:r>
    </w:p>
    <w:p w:rsidR="00876DBC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Финансирование сферы культуры в России: прямое бюджетное ассигнование, косвенное бюджетное финансирование и внебюджетные средства. </w:t>
      </w:r>
    </w:p>
    <w:p w:rsidR="00876DBC" w:rsidRPr="00D20CB1" w:rsidRDefault="00876DBC" w:rsidP="00876DBC">
      <w:pPr>
        <w:pStyle w:val="a7"/>
        <w:numPr>
          <w:ilvl w:val="0"/>
          <w:numId w:val="7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D20CB1">
        <w:rPr>
          <w:rFonts w:ascii="Times New Roman" w:hAnsi="Times New Roman"/>
          <w:color w:val="444444"/>
          <w:sz w:val="24"/>
          <w:szCs w:val="24"/>
          <w:lang w:eastAsia="ru-RU"/>
        </w:rPr>
        <w:t>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13</w:t>
      </w:r>
      <w:r w:rsidRPr="00DD1754">
        <w:rPr>
          <w:rFonts w:ascii="Times New Roman" w:hAnsi="Times New Roman"/>
          <w:b/>
          <w:sz w:val="24"/>
          <w:szCs w:val="24"/>
        </w:rPr>
        <w:t>. Стратегии и ориентиры в культурной политике зарубежных стран</w:t>
      </w:r>
      <w:r>
        <w:rPr>
          <w:rFonts w:ascii="Times New Roman" w:hAnsi="Times New Roman"/>
          <w:b/>
          <w:sz w:val="24"/>
          <w:szCs w:val="24"/>
        </w:rPr>
        <w:t xml:space="preserve"> (круглый стол)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</w:p>
    <w:p w:rsidR="00876DBC" w:rsidRPr="001F5095" w:rsidRDefault="00876DBC" w:rsidP="00876D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 xml:space="preserve">Семинарское занятие проводится в виде </w:t>
      </w:r>
      <w:r w:rsidRPr="001F5095">
        <w:rPr>
          <w:rFonts w:ascii="Times New Roman" w:hAnsi="Times New Roman"/>
          <w:b/>
          <w:sz w:val="24"/>
          <w:szCs w:val="24"/>
        </w:rPr>
        <w:t>круглого стола.</w:t>
      </w:r>
    </w:p>
    <w:p w:rsidR="00876DBC" w:rsidRPr="001F5095" w:rsidRDefault="00876DBC" w:rsidP="00876D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ab/>
      </w:r>
      <w:r w:rsidRPr="001F5095">
        <w:rPr>
          <w:rFonts w:ascii="Times New Roman" w:hAnsi="Times New Roman"/>
          <w:b/>
          <w:i/>
          <w:sz w:val="24"/>
          <w:szCs w:val="24"/>
        </w:rPr>
        <w:t>Цель занятия</w:t>
      </w:r>
      <w:r w:rsidRPr="001F5095">
        <w:rPr>
          <w:rFonts w:ascii="Times New Roman" w:hAnsi="Times New Roman"/>
          <w:sz w:val="24"/>
          <w:szCs w:val="24"/>
        </w:rPr>
        <w:t xml:space="preserve"> – обсуждение проблемы места и роли искусства в современном мире, знакомство с феноменологией искусства  ХХ - начала </w:t>
      </w:r>
      <w:r w:rsidRPr="001F5095">
        <w:rPr>
          <w:rFonts w:ascii="Times New Roman" w:hAnsi="Times New Roman"/>
          <w:sz w:val="24"/>
          <w:szCs w:val="24"/>
          <w:lang w:val="en-US"/>
        </w:rPr>
        <w:t>XXI</w:t>
      </w:r>
      <w:r w:rsidRPr="001F5095">
        <w:rPr>
          <w:rFonts w:ascii="Times New Roman" w:hAnsi="Times New Roman"/>
          <w:sz w:val="24"/>
          <w:szCs w:val="24"/>
        </w:rPr>
        <w:t xml:space="preserve"> века, с многообразием современных художественных практик.</w:t>
      </w:r>
    </w:p>
    <w:p w:rsidR="00876DBC" w:rsidRPr="001F5095" w:rsidRDefault="00876DBC" w:rsidP="00876DBC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>Для участия в этом заседании необходимо подготовить сообщение об одном из направлений зарубежной культурной политики, представить его аудитории, сопроводив видеопрезентацией и анализом основных их свойств. Необходимо проанализировать особенности этапов развития культурной политики.</w:t>
      </w:r>
    </w:p>
    <w:p w:rsidR="00876DBC" w:rsidRPr="001F5095" w:rsidRDefault="00876DBC" w:rsidP="00876DBC">
      <w:pPr>
        <w:spacing w:after="0"/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1F5095">
        <w:rPr>
          <w:rFonts w:ascii="Times New Roman" w:hAnsi="Times New Roman"/>
          <w:sz w:val="24"/>
          <w:szCs w:val="24"/>
        </w:rPr>
        <w:t>В заключении участники круглого стола должны попытаться сформулировать  выводы по обсуждаемым вопросам.</w:t>
      </w:r>
    </w:p>
    <w:p w:rsidR="00876DBC" w:rsidRPr="00D20CB1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Культурная политика зарубежных стран: стратегии и модели. Принципы и подходы к культурной политике в разных странах.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«Культура для всех» и «культура для каждого» – стратегии развития культурной политики в 1970-1990 гг.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Модели культурной политики в Европе, США, на Ближнем Востоке.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Роль международных институтов в реализации культурной политики. 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Культурная политика в эпоху глобализации Вызовы эпохи глобализации. </w:t>
      </w:r>
    </w:p>
    <w:p w:rsidR="00876DBC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Миграция и культурная политика. Проблема ассимиляции и сохранения культурного многообразия. </w:t>
      </w:r>
    </w:p>
    <w:p w:rsidR="00876DBC" w:rsidRPr="00D20CB1" w:rsidRDefault="00876DBC" w:rsidP="00876DBC">
      <w:pPr>
        <w:pStyle w:val="a7"/>
        <w:numPr>
          <w:ilvl w:val="0"/>
          <w:numId w:val="8"/>
        </w:numPr>
        <w:spacing w:after="0" w:line="240" w:lineRule="auto"/>
        <w:ind w:left="0" w:right="150" w:firstLine="0"/>
        <w:jc w:val="both"/>
        <w:rPr>
          <w:rFonts w:ascii="Times New Roman" w:hAnsi="Times New Roman"/>
          <w:sz w:val="24"/>
          <w:szCs w:val="24"/>
        </w:rPr>
      </w:pPr>
      <w:r w:rsidRPr="00D20CB1">
        <w:rPr>
          <w:rFonts w:ascii="Times New Roman" w:hAnsi="Times New Roman"/>
          <w:sz w:val="24"/>
          <w:szCs w:val="24"/>
        </w:rPr>
        <w:t xml:space="preserve">Проект мультикультурализма. Диалог культур в сфере культурной политики.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lastRenderedPageBreak/>
        <w:t>Тема 14. Сравнительный анализ особенностей культурной политики и управления социально-культурной сферой на современном этапе в России и мире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1.Решение всемирных конференций и международное законодательство о культуре.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2.Понятие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социкоциокультурного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управления и его типология (патерналистский, популистский, эклектический, </w:t>
      </w:r>
      <w:proofErr w:type="spellStart"/>
      <w:r>
        <w:rPr>
          <w:rFonts w:ascii="Times New Roman" w:hAnsi="Times New Roman"/>
          <w:color w:val="444444"/>
          <w:sz w:val="24"/>
          <w:szCs w:val="24"/>
          <w:lang w:eastAsia="ru-RU"/>
        </w:rPr>
        <w:t>социодинамический</w:t>
      </w:r>
      <w:proofErr w:type="spellEnd"/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типы управления). 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3. Развитие европейской культурной политики: основные принципы, проблемы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4.  Либерализация в сфере культуры в России и других европейских странах. 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 Россия и ЮНЕСКО: основные направления сотрудничества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Pr="00536F81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color w:val="444444"/>
          <w:sz w:val="24"/>
          <w:szCs w:val="24"/>
          <w:lang w:eastAsia="ru-RU"/>
        </w:rPr>
      </w:pP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Тема 15. Теория и практика культурной политики за</w:t>
      </w:r>
      <w:r>
        <w:rPr>
          <w:rFonts w:ascii="Times New Roman" w:hAnsi="Times New Roman"/>
          <w:b/>
          <w:color w:val="444444"/>
          <w:sz w:val="24"/>
          <w:szCs w:val="24"/>
          <w:lang w:eastAsia="ru-RU"/>
        </w:rPr>
        <w:t xml:space="preserve"> </w:t>
      </w:r>
      <w:r w:rsidRPr="00536F81">
        <w:rPr>
          <w:rFonts w:ascii="Times New Roman" w:hAnsi="Times New Roman"/>
          <w:b/>
          <w:color w:val="444444"/>
          <w:sz w:val="24"/>
          <w:szCs w:val="24"/>
          <w:lang w:eastAsia="ru-RU"/>
        </w:rPr>
        <w:t>рубежом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Pr="00D57141" w:rsidRDefault="00876DBC" w:rsidP="00876DBC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right="150" w:firstLine="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Прогнозы культурного развития в контексте глобализации (концепции С. Хантингтона, Фукуямы, Р. Робертсона, </w:t>
      </w:r>
      <w:proofErr w:type="spellStart"/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>Шриниваса</w:t>
      </w:r>
      <w:proofErr w:type="spellEnd"/>
      <w:r w:rsidRPr="00D57141"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Т. и др.).</w:t>
      </w:r>
    </w:p>
    <w:p w:rsidR="00876DBC" w:rsidRDefault="00876DBC" w:rsidP="00876DBC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right="150" w:firstLine="0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71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Великобритании, ее основные направления и методы: традиции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Германии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льтурная политика Франции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876DBC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Культурная политика США, ее основные направления и методы: традиции и перспективы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Культурное разнообразие и мультикультурализм. </w:t>
      </w:r>
    </w:p>
    <w:p w:rsidR="00876DBC" w:rsidRPr="003937E5" w:rsidRDefault="00876DBC" w:rsidP="00876DB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Культурная политика стран Китая</w:t>
      </w:r>
      <w:r w:rsidRPr="003937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ее основные направления и методы: традиции и перспективы.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16</w:t>
      </w:r>
      <w:r w:rsidRPr="00DD1754">
        <w:rPr>
          <w:rFonts w:ascii="Times New Roman" w:hAnsi="Times New Roman"/>
          <w:b/>
          <w:sz w:val="24"/>
          <w:szCs w:val="24"/>
        </w:rPr>
        <w:t>. Охрана культурно-исторического наследия как направление культурной политики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D57141">
        <w:rPr>
          <w:rFonts w:ascii="Times New Roman" w:hAnsi="Times New Roman"/>
          <w:sz w:val="24"/>
          <w:szCs w:val="24"/>
        </w:rPr>
        <w:t>Понятие экологии культуры. Охрана культурно-исторического наследия, музейное</w:t>
      </w:r>
      <w:r>
        <w:rPr>
          <w:rFonts w:ascii="Times New Roman" w:hAnsi="Times New Roman"/>
          <w:sz w:val="24"/>
          <w:szCs w:val="24"/>
        </w:rPr>
        <w:t xml:space="preserve">, библиотечное, архивное дело.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</w:t>
      </w:r>
      <w:r w:rsidRPr="00D57141">
        <w:rPr>
          <w:rFonts w:ascii="Times New Roman" w:hAnsi="Times New Roman"/>
          <w:sz w:val="24"/>
          <w:szCs w:val="24"/>
        </w:rPr>
        <w:t xml:space="preserve">роблема сохранения культурных ценностей. Охрана памятников в современной России.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57141">
        <w:rPr>
          <w:rFonts w:ascii="Times New Roman" w:hAnsi="Times New Roman"/>
          <w:sz w:val="24"/>
          <w:szCs w:val="24"/>
        </w:rPr>
        <w:t xml:space="preserve">Законодательство РФ в сфере охраны культурных ценностей.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D57141">
        <w:rPr>
          <w:rFonts w:ascii="Times New Roman" w:hAnsi="Times New Roman"/>
          <w:sz w:val="24"/>
          <w:szCs w:val="24"/>
        </w:rPr>
        <w:t xml:space="preserve">Проблема реституций. 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D57141">
        <w:rPr>
          <w:rFonts w:ascii="Times New Roman" w:hAnsi="Times New Roman"/>
          <w:sz w:val="24"/>
          <w:szCs w:val="24"/>
        </w:rPr>
        <w:t xml:space="preserve">Культуроохранная деятельность социальных институтов различных типов (музеи, заповедники, архивы и т.п.). </w:t>
      </w:r>
    </w:p>
    <w:p w:rsidR="00876DBC" w:rsidRPr="00D57141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6.</w:t>
      </w:r>
      <w:r w:rsidRPr="00D57141">
        <w:rPr>
          <w:rFonts w:ascii="Times New Roman" w:hAnsi="Times New Roman"/>
          <w:sz w:val="24"/>
          <w:szCs w:val="24"/>
        </w:rPr>
        <w:t>Реставрация как одно из направлений прикладной культурологии. Общественная инициатива и охрана памятников.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17. Образование как инструмент культурной политики. Система подготовки специалистов в области культуры и искусства</w:t>
      </w:r>
    </w:p>
    <w:p w:rsidR="00876DBC" w:rsidRDefault="00876DBC" w:rsidP="00876DBC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 xml:space="preserve">Современные тенденции в системе гуманитарного и художественного образования. </w:t>
      </w:r>
    </w:p>
    <w:p w:rsidR="00876DBC" w:rsidRDefault="00876DBC" w:rsidP="00876DBC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</w:t>
      </w: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 xml:space="preserve">Анализ современного состояния сети художественных образовательных учреждений. </w:t>
      </w:r>
    </w:p>
    <w:p w:rsidR="00876DBC" w:rsidRDefault="00876DBC" w:rsidP="00876DBC">
      <w:pPr>
        <w:pStyle w:val="a7"/>
        <w:numPr>
          <w:ilvl w:val="0"/>
          <w:numId w:val="11"/>
        </w:numPr>
        <w:spacing w:after="0" w:line="240" w:lineRule="auto"/>
        <w:ind w:left="0" w:right="150" w:firstLine="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 w:rsidRPr="009B02AE">
        <w:rPr>
          <w:rFonts w:ascii="Times New Roman" w:hAnsi="Times New Roman"/>
          <w:color w:val="444444"/>
          <w:sz w:val="24"/>
          <w:szCs w:val="24"/>
          <w:lang w:eastAsia="ru-RU"/>
        </w:rPr>
        <w:t>Федеральная и региональная поддержка творческой интеллигенции: система премий, грантов, стипендий.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Централизованное управление культурной сферой в России: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г) стратегии и механизмы реализации культурной политики.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Децентрализация управления социокультурными процессами в СССР: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876DBC" w:rsidRDefault="00876DBC" w:rsidP="00876DBC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876DBC" w:rsidRPr="00876DBC" w:rsidRDefault="00876DBC" w:rsidP="00876D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6DBC" w:rsidRDefault="00876DBC" w:rsidP="00876DBC">
      <w:pPr>
        <w:pStyle w:val="aa"/>
        <w:tabs>
          <w:tab w:val="clear" w:pos="360"/>
        </w:tabs>
        <w:spacing w:line="240" w:lineRule="auto"/>
        <w:ind w:left="0" w:firstLine="709"/>
        <w:rPr>
          <w:i/>
        </w:rPr>
      </w:pPr>
      <w:r w:rsidRPr="00876DBC">
        <w:rPr>
          <w:rFonts w:eastAsia="Times New Roman"/>
          <w:b/>
          <w:iCs/>
        </w:rPr>
        <w:t>Материально-техническое обеспечение занятия</w:t>
      </w:r>
      <w:r>
        <w:rPr>
          <w:rFonts w:eastAsia="Times New Roman"/>
          <w:iCs/>
        </w:rPr>
        <w:t xml:space="preserve">: </w:t>
      </w:r>
      <w:r>
        <w:rPr>
          <w:iCs/>
          <w:spacing w:val="-2"/>
        </w:rPr>
        <w:t xml:space="preserve">Для обеспечения учебного процесса по дисциплине необходимо применение технических средств обучения, реализующих возможность демонстрации лекционного материала в виде презентаций, показ видеоматериалов с цифровых носителей информации, а также выход в Интернет, для демонстрации и анализа текущих событий в области культурной политики. </w:t>
      </w:r>
    </w:p>
    <w:p w:rsidR="00EC54D3" w:rsidRP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C54D3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Методические рекомендации к самостоятельной работе студентов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Методические рекомендации по подготовке письменных работ (курсовых, контрольных, рефератов, конспектов и т.п.)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Подготовка к дискуссии (круглого стола)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Основные шаги при подготовке к дискуссии.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Проведение дискуссии: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формулирование проблемы и целей дискуссии;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совместная выработка правил дискуссии;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Приемы введения в дискуссию: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предъявление проблемной ситуации;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демонстрация видеосюжета;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демонстрация материалов (статей, документов);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ролевое проигрывание проблемной ситуации;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постановка проблемных вопросов;</w:t>
      </w:r>
    </w:p>
    <w:p w:rsidR="00EC54D3" w:rsidRDefault="00EC54D3" w:rsidP="00EC54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600D2A" w:rsidRPr="00600D2A" w:rsidRDefault="00600D2A" w:rsidP="00600D2A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600D2A">
        <w:rPr>
          <w:rFonts w:ascii="Times New Roman" w:hAnsi="Times New Roman"/>
          <w:sz w:val="24"/>
          <w:szCs w:val="24"/>
        </w:rPr>
        <w:t xml:space="preserve">Экзамен проводится в письменной форме, с возможностью последующей устной защиты. Учащийся должен подготовить ответы на 2 вопроса, в течение ограниченного времени. </w:t>
      </w:r>
    </w:p>
    <w:p w:rsidR="00CF47CB" w:rsidRDefault="00CF47CB" w:rsidP="00CF47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CF47CB" w:rsidRPr="00C810D3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7.1.    Список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CF47CB" w:rsidRDefault="00CF47CB" w:rsidP="00CF47CB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</w:p>
    <w:p w:rsidR="00CF47CB" w:rsidRDefault="00CF47CB" w:rsidP="00CF47CB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 xml:space="preserve">   Культурология: учеб. и практикум для бакалавров / Н. Г.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Багдасарьян</w:t>
      </w:r>
      <w:proofErr w:type="spellEnd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Моск</w:t>
      </w:r>
      <w:proofErr w:type="spellEnd"/>
      <w:r>
        <w:rPr>
          <w:rFonts w:ascii="Times New Roman" w:hAnsi="Times New Roman"/>
          <w:sz w:val="24"/>
          <w:szCs w:val="24"/>
        </w:rPr>
        <w:t xml:space="preserve">. гос. </w:t>
      </w:r>
      <w:proofErr w:type="spellStart"/>
      <w:r>
        <w:rPr>
          <w:rFonts w:ascii="Times New Roman" w:hAnsi="Times New Roman"/>
          <w:sz w:val="24"/>
          <w:szCs w:val="24"/>
        </w:rPr>
        <w:t>техн</w:t>
      </w:r>
      <w:proofErr w:type="spellEnd"/>
      <w:r>
        <w:rPr>
          <w:rFonts w:ascii="Times New Roman" w:hAnsi="Times New Roman"/>
          <w:sz w:val="24"/>
          <w:szCs w:val="24"/>
        </w:rPr>
        <w:t xml:space="preserve">. ун-т им. Н. Э. Баумана. - 3-е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2015. - 556 с. - (Бакалавр. Базовый курс). - Кн. доступна в электрон. библ. системе. - </w:t>
      </w:r>
      <w:proofErr w:type="spellStart"/>
      <w:r>
        <w:rPr>
          <w:rFonts w:ascii="Times New Roman" w:hAnsi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/>
          <w:sz w:val="24"/>
          <w:szCs w:val="24"/>
        </w:rPr>
        <w:t>.: с. 548-556. - ISBN 978-5-9916-3509-</w:t>
      </w:r>
      <w:proofErr w:type="gramStart"/>
      <w:r>
        <w:rPr>
          <w:rFonts w:ascii="Times New Roman" w:hAnsi="Times New Roman"/>
          <w:sz w:val="24"/>
          <w:szCs w:val="24"/>
        </w:rPr>
        <w:t>7 :</w:t>
      </w:r>
      <w:proofErr w:type="gramEnd"/>
      <w:r>
        <w:rPr>
          <w:rFonts w:ascii="Times New Roman" w:hAnsi="Times New Roman"/>
          <w:sz w:val="24"/>
          <w:szCs w:val="24"/>
        </w:rPr>
        <w:t xml:space="preserve"> 651-78. </w:t>
      </w:r>
    </w:p>
    <w:p w:rsidR="00CF47CB" w:rsidRDefault="00CF47CB" w:rsidP="00CF47CB">
      <w:pPr>
        <w:pStyle w:val="a4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</w:t>
      </w:r>
      <w:hyperlink r:id="rId7" w:history="1">
        <w:r w:rsidRPr="00F175D5">
          <w:rPr>
            <w:rStyle w:val="a3"/>
          </w:rPr>
          <w:t>www.un.org/russian/events/literacy/decl_diversity.pdf</w:t>
        </w:r>
      </w:hyperlink>
      <w:r>
        <w:rPr>
          <w:color w:val="444444"/>
        </w:rPr>
        <w:t xml:space="preserve">. </w:t>
      </w:r>
    </w:p>
    <w:p w:rsidR="00CF47CB" w:rsidRDefault="00CF47CB" w:rsidP="00CF47CB">
      <w:pPr>
        <w:pStyle w:val="a4"/>
        <w:spacing w:before="0" w:beforeAutospacing="0" w:after="0" w:afterAutospacing="0"/>
        <w:ind w:right="150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8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CF47CB" w:rsidRDefault="00CF47CB" w:rsidP="00CF47CB">
      <w:pPr>
        <w:spacing w:after="0" w:line="240" w:lineRule="auto"/>
        <w:ind w:right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Каменец, А. В. Основы культурной </w:t>
      </w:r>
      <w:proofErr w:type="gramStart"/>
      <w:r>
        <w:rPr>
          <w:rFonts w:ascii="Times New Roman" w:hAnsi="Times New Roman"/>
          <w:sz w:val="24"/>
          <w:szCs w:val="24"/>
        </w:rPr>
        <w:t>политики :</w:t>
      </w:r>
      <w:proofErr w:type="gramEnd"/>
      <w:r>
        <w:rPr>
          <w:rFonts w:ascii="Times New Roman" w:hAnsi="Times New Roman"/>
          <w:sz w:val="24"/>
          <w:szCs w:val="24"/>
        </w:rPr>
        <w:t xml:space="preserve"> учеб. пособие для академического бакалавриата / А. В. Каменец. — 2-е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>
        <w:rPr>
          <w:rFonts w:ascii="Times New Roman" w:hAnsi="Times New Roman"/>
          <w:sz w:val="24"/>
          <w:szCs w:val="24"/>
        </w:rPr>
        <w:t>М. :</w:t>
      </w:r>
      <w:proofErr w:type="gramEnd"/>
      <w:r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2019. — 180 с. — (</w:t>
      </w:r>
      <w:proofErr w:type="gramStart"/>
      <w:r>
        <w:rPr>
          <w:rFonts w:ascii="Times New Roman" w:hAnsi="Times New Roman"/>
          <w:sz w:val="24"/>
          <w:szCs w:val="24"/>
        </w:rPr>
        <w:t>Серия :</w:t>
      </w:r>
      <w:proofErr w:type="gramEnd"/>
      <w:r>
        <w:rPr>
          <w:rFonts w:ascii="Times New Roman" w:hAnsi="Times New Roman"/>
          <w:sz w:val="24"/>
          <w:szCs w:val="24"/>
        </w:rPr>
        <w:t xml:space="preserve"> Бакалавр. Академический курс).</w:t>
      </w:r>
    </w:p>
    <w:p w:rsidR="00CF47CB" w:rsidRDefault="00CF47CB" w:rsidP="00CF47CB">
      <w:pPr>
        <w:spacing w:after="0" w:line="240" w:lineRule="auto"/>
        <w:ind w:right="150"/>
        <w:jc w:val="both"/>
      </w:pPr>
      <w:r>
        <w:rPr>
          <w:rFonts w:ascii="Times New Roman" w:hAnsi="Times New Roman"/>
          <w:sz w:val="24"/>
          <w:szCs w:val="24"/>
        </w:rPr>
        <w:t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</w:t>
      </w:r>
      <w:r>
        <w:t xml:space="preserve"> </w:t>
      </w:r>
    </w:p>
    <w:p w:rsidR="00CF47CB" w:rsidRDefault="00CF47CB" w:rsidP="00CF47CB">
      <w:pPr>
        <w:spacing w:after="0" w:line="240" w:lineRule="auto"/>
        <w:ind w:right="150"/>
        <w:jc w:val="both"/>
        <w:rPr>
          <w:color w:val="44444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color w:val="444444"/>
        </w:rPr>
        <w:t xml:space="preserve"> [Электронный ресурс].</w:t>
      </w:r>
    </w:p>
    <w:p w:rsidR="00CF47CB" w:rsidRDefault="00CF47CB" w:rsidP="00CF47CB">
      <w:pPr>
        <w:spacing w:after="0" w:line="240" w:lineRule="auto"/>
        <w:ind w:right="150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CF47CB" w:rsidTr="00FE5AA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7CB" w:rsidRDefault="00CF47CB" w:rsidP="00FE5A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7.Флиер,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культурологов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учеб. пособие для магистрантов,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 соискателей. Науч.-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культуролог. о-во;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гос. ун-т культуры и искусств;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Высш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культурологии. - 2-е изд.,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и доп.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М.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Согласие, 2010. - 671 с. </w:t>
            </w:r>
          </w:p>
        </w:tc>
      </w:tr>
    </w:tbl>
    <w:p w:rsidR="00CF47CB" w:rsidRDefault="00CF47CB" w:rsidP="00CF47CB">
      <w:pPr>
        <w:ind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CF47CB" w:rsidTr="00FE5AA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7CB" w:rsidRDefault="00CF47CB" w:rsidP="00FE5A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1.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Культурология</w:t>
            </w:r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учебник / С.-</w:t>
            </w:r>
            <w:proofErr w:type="spellStart"/>
            <w:r>
              <w:rPr>
                <w:rFonts w:ascii="Times New Roman" w:hAnsi="Times New Roman"/>
              </w:rPr>
              <w:t>Петерб</w:t>
            </w:r>
            <w:proofErr w:type="spellEnd"/>
            <w:r>
              <w:rPr>
                <w:rFonts w:ascii="Times New Roman" w:hAnsi="Times New Roman"/>
              </w:rPr>
              <w:t xml:space="preserve">. гос. ун-т культуры и искусства; под ред. С. Н. Иконниковой и В. П. Большакова. -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Проспект, 2011. - 527 с. - </w:t>
            </w:r>
            <w:proofErr w:type="spellStart"/>
            <w:r>
              <w:rPr>
                <w:rFonts w:ascii="Times New Roman" w:hAnsi="Times New Roman"/>
              </w:rPr>
              <w:t>Библиогр</w:t>
            </w:r>
            <w:proofErr w:type="spellEnd"/>
            <w:r>
              <w:rPr>
                <w:rFonts w:ascii="Times New Roman" w:hAnsi="Times New Roman"/>
              </w:rPr>
              <w:t>.: с. 520-523. - ISBN 978-5-392-01702-</w:t>
            </w:r>
            <w:proofErr w:type="gramStart"/>
            <w:r>
              <w:rPr>
                <w:rFonts w:ascii="Times New Roman" w:hAnsi="Times New Roman"/>
              </w:rPr>
              <w:t>7 :</w:t>
            </w:r>
            <w:proofErr w:type="gramEnd"/>
            <w:r>
              <w:rPr>
                <w:rFonts w:ascii="Times New Roman" w:hAnsi="Times New Roman"/>
              </w:rPr>
              <w:t xml:space="preserve"> 204-05. </w:t>
            </w:r>
          </w:p>
        </w:tc>
      </w:tr>
      <w:tr w:rsidR="00CF47CB" w:rsidTr="00FE5AA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F47CB" w:rsidRDefault="00CF47CB" w:rsidP="00FE5AA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2. Маркова, А. Н.</w:t>
            </w:r>
            <w:r>
              <w:rPr>
                <w:rFonts w:ascii="Times New Roman" w:hAnsi="Times New Roman"/>
              </w:rPr>
              <w:br/>
              <w:t xml:space="preserve">   Культурология: учеб. пособие / А. Н. Маркова. - </w:t>
            </w:r>
            <w:proofErr w:type="gramStart"/>
            <w:r>
              <w:rPr>
                <w:rFonts w:ascii="Times New Roman" w:hAnsi="Times New Roman"/>
              </w:rPr>
              <w:t>М. :</w:t>
            </w:r>
            <w:proofErr w:type="gramEnd"/>
            <w:r>
              <w:rPr>
                <w:rFonts w:ascii="Times New Roman" w:hAnsi="Times New Roman"/>
              </w:rPr>
              <w:t xml:space="preserve"> Проспект, 2014. - 376 с. - </w:t>
            </w:r>
            <w:proofErr w:type="spellStart"/>
            <w:r>
              <w:rPr>
                <w:rFonts w:ascii="Times New Roman" w:hAnsi="Times New Roman"/>
              </w:rPr>
              <w:t>Библиогр</w:t>
            </w:r>
            <w:proofErr w:type="spellEnd"/>
            <w:r>
              <w:rPr>
                <w:rFonts w:ascii="Times New Roman" w:hAnsi="Times New Roman"/>
              </w:rPr>
              <w:t>.: с. 367. - ISBN 978-5-392-13196-</w:t>
            </w:r>
            <w:proofErr w:type="gramStart"/>
            <w:r>
              <w:rPr>
                <w:rFonts w:ascii="Times New Roman" w:hAnsi="Times New Roman"/>
              </w:rPr>
              <w:t>9 :</w:t>
            </w:r>
            <w:proofErr w:type="gramEnd"/>
            <w:r>
              <w:rPr>
                <w:rFonts w:ascii="Times New Roman" w:hAnsi="Times New Roman"/>
              </w:rPr>
              <w:t xml:space="preserve"> 350-. </w:t>
            </w:r>
          </w:p>
        </w:tc>
      </w:tr>
    </w:tbl>
    <w:p w:rsidR="00CF47CB" w:rsidRPr="006562B7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47CB" w:rsidRPr="00C810D3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Доступ в ЭБС: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284B89">
          <w:rPr>
            <w:rFonts w:ascii="Times New Roman" w:eastAsia="Times New Roman" w:hAnsi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>
          <w:rPr>
            <w:rFonts w:ascii="Times New Roman" w:eastAsia="Times New Roman" w:hAnsi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CF47CB" w:rsidRDefault="00CF47CB" w:rsidP="00CF47C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>
          <w:rPr>
            <w:rFonts w:ascii="Times New Roman" w:eastAsia="Times New Roman" w:hAnsi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CF47CB" w:rsidRDefault="00CF47CB" w:rsidP="00CF47CB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lang w:eastAsia="ru-RU"/>
        </w:rPr>
        <w:t xml:space="preserve">Электронная библиотечная система </w:t>
      </w:r>
      <w:r>
        <w:rPr>
          <w:rFonts w:ascii="Times New Roman" w:hAnsi="Times New Roman"/>
          <w:b/>
          <w:bCs/>
        </w:rPr>
        <w:t>biblio-onlain.ru</w:t>
      </w:r>
    </w:p>
    <w:p w:rsidR="00CF47CB" w:rsidRDefault="00CF47CB" w:rsidP="00CF47CB">
      <w:pPr>
        <w:spacing w:after="0" w:line="240" w:lineRule="auto"/>
        <w:rPr>
          <w:rFonts w:ascii="Times New Roman" w:hAnsi="Times New Roman"/>
          <w:color w:val="444444"/>
          <w:sz w:val="18"/>
          <w:szCs w:val="18"/>
          <w:lang w:eastAsia="ru-RU"/>
        </w:rPr>
      </w:pPr>
      <w:r>
        <w:rPr>
          <w:rFonts w:ascii="Times New Roman" w:hAnsi="Times New Roman"/>
          <w:color w:val="444444"/>
          <w:sz w:val="18"/>
          <w:szCs w:val="18"/>
          <w:lang w:eastAsia="ru-RU"/>
        </w:rPr>
        <w:t xml:space="preserve">http://www.rfbr.ru/ - Российский Фонд Фундаментальных Исследований; </w:t>
      </w:r>
    </w:p>
    <w:p w:rsidR="00CF47CB" w:rsidRDefault="00CF47CB" w:rsidP="00CF47CB">
      <w:pPr>
        <w:spacing w:after="0" w:line="240" w:lineRule="auto"/>
        <w:rPr>
          <w:rFonts w:ascii="Times New Roman" w:hAnsi="Times New Roman"/>
          <w:color w:val="444444"/>
          <w:sz w:val="18"/>
          <w:szCs w:val="18"/>
          <w:lang w:eastAsia="ru-RU"/>
        </w:rPr>
      </w:pPr>
      <w:r>
        <w:rPr>
          <w:rFonts w:ascii="Times New Roman" w:hAnsi="Times New Roman"/>
          <w:color w:val="444444"/>
          <w:sz w:val="18"/>
          <w:szCs w:val="18"/>
          <w:lang w:eastAsia="ru-RU"/>
        </w:rPr>
        <w:t xml:space="preserve">http://www.rfh.ru/ - Российский гуманитарный научный фонд; </w:t>
      </w:r>
    </w:p>
    <w:p w:rsidR="00CF47CB" w:rsidRDefault="00CF47CB" w:rsidP="00CF47CB">
      <w:pPr>
        <w:spacing w:after="0" w:line="240" w:lineRule="auto"/>
        <w:rPr>
          <w:sz w:val="18"/>
          <w:szCs w:val="18"/>
        </w:rPr>
      </w:pPr>
      <w:r>
        <w:rPr>
          <w:rFonts w:ascii="Times New Roman" w:hAnsi="Times New Roman"/>
          <w:color w:val="444444"/>
          <w:sz w:val="18"/>
          <w:szCs w:val="18"/>
          <w:lang w:eastAsia="ru-RU"/>
        </w:rPr>
        <w:t>http://www.esf.org/ - Европейский научный фонд.</w:t>
      </w:r>
    </w:p>
    <w:p w:rsidR="00E550C2" w:rsidRDefault="00E550C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ИНФОРМАЦИОННЫХ ТЕХНОЛОГИЙ.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600D2A" w:rsidRPr="00CF47CB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600D2A" w:rsidRPr="00CF47CB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600D2A" w:rsidRPr="00CF47CB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CF47CB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600D2A" w:rsidRPr="00CF47CB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600D2A" w:rsidRDefault="00600D2A" w:rsidP="00600D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Занятия проводятся в 111 ауд., 234, 305 2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кор</w:t>
      </w:r>
      <w:proofErr w:type="spell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аудитории для самостоятельной работы обучающихся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, оснащенных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ВО.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Обеспечение образовательного процесса для лиц с ограниченными возможностями здоровья и инвалидов (при наличии0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600D2A" w:rsidRDefault="00600D2A" w:rsidP="00600D2A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00D2A" w:rsidRDefault="00600D2A" w:rsidP="00600D2A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00D2A" w:rsidRDefault="00600D2A" w:rsidP="00600D2A">
      <w:pPr>
        <w:numPr>
          <w:ilvl w:val="0"/>
          <w:numId w:val="17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00D2A" w:rsidRDefault="00600D2A" w:rsidP="00600D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2"/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00D2A" w:rsidRDefault="00600D2A" w:rsidP="00600D2A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600D2A" w:rsidRDefault="00600D2A" w:rsidP="00600D2A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600D2A" w:rsidRDefault="00600D2A" w:rsidP="00600D2A">
      <w:pPr>
        <w:numPr>
          <w:ilvl w:val="0"/>
          <w:numId w:val="18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 печатной форме;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600D2A" w:rsidRDefault="00600D2A" w:rsidP="00600D2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00D2A" w:rsidRDefault="00600D2A" w:rsidP="00600D2A">
      <w:pPr>
        <w:numPr>
          <w:ilvl w:val="0"/>
          <w:numId w:val="1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600D2A" w:rsidRDefault="00600D2A" w:rsidP="00600D2A">
      <w:pPr>
        <w:numPr>
          <w:ilvl w:val="0"/>
          <w:numId w:val="1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600D2A" w:rsidRDefault="00600D2A" w:rsidP="00600D2A">
      <w:pPr>
        <w:numPr>
          <w:ilvl w:val="0"/>
          <w:numId w:val="18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57E6" w:rsidRPr="00621727" w:rsidRDefault="001557E6" w:rsidP="001557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1557E6" w:rsidRDefault="001557E6" w:rsidP="001557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0D2A" w:rsidRDefault="00600D2A" w:rsidP="00600D2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0C2" w:rsidRDefault="00E550C2" w:rsidP="00F9396B">
      <w:pPr>
        <w:spacing w:after="0" w:line="240" w:lineRule="auto"/>
        <w:ind w:right="150" w:firstLine="709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F9396B" w:rsidRPr="00E550C2" w:rsidRDefault="00F9396B" w:rsidP="00F9396B">
      <w:pPr>
        <w:framePr w:hSpace="165" w:vSpace="120" w:wrap="around" w:vAnchor="text" w:hAnchor="text"/>
        <w:tabs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9396B" w:rsidRPr="00E550C2" w:rsidRDefault="00F9396B" w:rsidP="00F9396B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9396B" w:rsidRPr="00E550C2" w:rsidRDefault="00F9396B" w:rsidP="00F9396B">
      <w:pPr>
        <w:tabs>
          <w:tab w:val="left" w:pos="900"/>
        </w:tabs>
        <w:spacing w:after="0" w:line="240" w:lineRule="atLeast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876DBC" w:rsidRDefault="00876DBC" w:rsidP="00F9396B">
      <w:pPr>
        <w:tabs>
          <w:tab w:val="right" w:leader="underscore" w:pos="0"/>
        </w:tabs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9396B" w:rsidRDefault="00F9396B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7506" w:rsidRDefault="00457506" w:rsidP="00F939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_GoBack"/>
      <w:bookmarkEnd w:id="4"/>
    </w:p>
    <w:sectPr w:rsidR="00457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235" w:rsidRDefault="00205235" w:rsidP="006237E5">
      <w:pPr>
        <w:spacing w:after="0" w:line="240" w:lineRule="auto"/>
      </w:pPr>
      <w:r>
        <w:separator/>
      </w:r>
    </w:p>
  </w:endnote>
  <w:endnote w:type="continuationSeparator" w:id="0">
    <w:p w:rsidR="00205235" w:rsidRDefault="00205235" w:rsidP="00623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235" w:rsidRDefault="00205235" w:rsidP="006237E5">
      <w:pPr>
        <w:spacing w:after="0" w:line="240" w:lineRule="auto"/>
      </w:pPr>
      <w:r>
        <w:separator/>
      </w:r>
    </w:p>
  </w:footnote>
  <w:footnote w:type="continuationSeparator" w:id="0">
    <w:p w:rsidR="00205235" w:rsidRDefault="00205235" w:rsidP="006237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FE3744"/>
    <w:multiLevelType w:val="hybridMultilevel"/>
    <w:tmpl w:val="DC1A6610"/>
    <w:lvl w:ilvl="0" w:tplc="6134628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CB6320"/>
    <w:multiLevelType w:val="hybridMultilevel"/>
    <w:tmpl w:val="C8502178"/>
    <w:lvl w:ilvl="0" w:tplc="7D802556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C9581A"/>
    <w:multiLevelType w:val="hybridMultilevel"/>
    <w:tmpl w:val="1F206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6255E"/>
    <w:multiLevelType w:val="multilevel"/>
    <w:tmpl w:val="5EF2DC96"/>
    <w:lvl w:ilvl="0"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59"/>
      <w:numFmt w:val="decimal"/>
      <w:lvlText w:val="%1-%2"/>
      <w:lvlJc w:val="left"/>
      <w:pPr>
        <w:ind w:left="435" w:hanging="435"/>
      </w:pPr>
      <w:rPr>
        <w:rFonts w:cs="Times New Roman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9384BE9"/>
    <w:multiLevelType w:val="hybridMultilevel"/>
    <w:tmpl w:val="B486F4D2"/>
    <w:lvl w:ilvl="0" w:tplc="2E8874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D2741F5"/>
    <w:multiLevelType w:val="hybridMultilevel"/>
    <w:tmpl w:val="868289AC"/>
    <w:lvl w:ilvl="0" w:tplc="1B92309E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3AF4EC8"/>
    <w:multiLevelType w:val="hybridMultilevel"/>
    <w:tmpl w:val="1F206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0" w15:restartNumberingAfterBreak="0">
    <w:nsid w:val="561110DB"/>
    <w:multiLevelType w:val="hybridMultilevel"/>
    <w:tmpl w:val="26B2E88E"/>
    <w:lvl w:ilvl="0" w:tplc="53208476">
      <w:start w:val="1"/>
      <w:numFmt w:val="decimal"/>
      <w:lvlText w:val="%1."/>
      <w:lvlJc w:val="left"/>
      <w:pPr>
        <w:ind w:left="1068" w:hanging="360"/>
      </w:pPr>
      <w:rPr>
        <w:rFonts w:cs="Times New Roman"/>
        <w:b/>
        <w:i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47384"/>
    <w:multiLevelType w:val="hybridMultilevel"/>
    <w:tmpl w:val="59F0AC0C"/>
    <w:lvl w:ilvl="0" w:tplc="64FEB926">
      <w:start w:val="1"/>
      <w:numFmt w:val="decimal"/>
      <w:lvlText w:val="%1."/>
      <w:lvlJc w:val="left"/>
      <w:pPr>
        <w:ind w:left="1717" w:hanging="1008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9B56CF"/>
    <w:multiLevelType w:val="hybridMultilevel"/>
    <w:tmpl w:val="CF44DE08"/>
    <w:lvl w:ilvl="0" w:tplc="32649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2A73E15"/>
    <w:multiLevelType w:val="hybridMultilevel"/>
    <w:tmpl w:val="27320F9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736403FA"/>
    <w:multiLevelType w:val="hybridMultilevel"/>
    <w:tmpl w:val="90B2AA5C"/>
    <w:lvl w:ilvl="0" w:tplc="2188BC9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2976D5"/>
    <w:multiLevelType w:val="hybridMultilevel"/>
    <w:tmpl w:val="5E88F22A"/>
    <w:lvl w:ilvl="0" w:tplc="A3FA2BB0">
      <w:start w:val="1"/>
      <w:numFmt w:val="decimal"/>
      <w:lvlText w:val="%1."/>
      <w:lvlJc w:val="left"/>
      <w:pPr>
        <w:ind w:left="11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7" w15:restartNumberingAfterBreak="0">
    <w:nsid w:val="7AB9556A"/>
    <w:multiLevelType w:val="hybridMultilevel"/>
    <w:tmpl w:val="EBA0EB4E"/>
    <w:lvl w:ilvl="0" w:tplc="211233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5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3"/>
  </w:num>
  <w:num w:numId="6">
    <w:abstractNumId w:val="2"/>
  </w:num>
  <w:num w:numId="7">
    <w:abstractNumId w:val="15"/>
  </w:num>
  <w:num w:numId="8">
    <w:abstractNumId w:val="12"/>
  </w:num>
  <w:num w:numId="9">
    <w:abstractNumId w:val="6"/>
  </w:num>
  <w:num w:numId="10">
    <w:abstractNumId w:val="16"/>
  </w:num>
  <w:num w:numId="11">
    <w:abstractNumId w:val="17"/>
  </w:num>
  <w:num w:numId="12">
    <w:abstractNumId w:val="14"/>
  </w:num>
  <w:num w:numId="13">
    <w:abstractNumId w:val="8"/>
  </w:num>
  <w:num w:numId="14">
    <w:abstractNumId w:val="1"/>
  </w:num>
  <w:num w:numId="15">
    <w:abstractNumId w:val="3"/>
  </w:num>
  <w:num w:numId="16">
    <w:abstractNumId w:val="9"/>
  </w:num>
  <w:num w:numId="17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C77"/>
    <w:rsid w:val="00012FCE"/>
    <w:rsid w:val="00040D57"/>
    <w:rsid w:val="00046263"/>
    <w:rsid w:val="00056801"/>
    <w:rsid w:val="00060DCE"/>
    <w:rsid w:val="0006749F"/>
    <w:rsid w:val="00067D2C"/>
    <w:rsid w:val="000B61E6"/>
    <w:rsid w:val="000B79C4"/>
    <w:rsid w:val="000E4E09"/>
    <w:rsid w:val="000F7EDB"/>
    <w:rsid w:val="00113742"/>
    <w:rsid w:val="001557E6"/>
    <w:rsid w:val="001576DC"/>
    <w:rsid w:val="001A5691"/>
    <w:rsid w:val="001C69A8"/>
    <w:rsid w:val="001D5B99"/>
    <w:rsid w:val="001E72C1"/>
    <w:rsid w:val="001F2100"/>
    <w:rsid w:val="001F5095"/>
    <w:rsid w:val="00205235"/>
    <w:rsid w:val="002139A6"/>
    <w:rsid w:val="00237BF2"/>
    <w:rsid w:val="0025453F"/>
    <w:rsid w:val="00255ABE"/>
    <w:rsid w:val="002678AA"/>
    <w:rsid w:val="0028609B"/>
    <w:rsid w:val="00294138"/>
    <w:rsid w:val="002A34A5"/>
    <w:rsid w:val="002A6289"/>
    <w:rsid w:val="00327763"/>
    <w:rsid w:val="00333395"/>
    <w:rsid w:val="00340911"/>
    <w:rsid w:val="0034713D"/>
    <w:rsid w:val="00364FD3"/>
    <w:rsid w:val="003937E5"/>
    <w:rsid w:val="003B0AA1"/>
    <w:rsid w:val="003C1084"/>
    <w:rsid w:val="003D55E3"/>
    <w:rsid w:val="00457506"/>
    <w:rsid w:val="00490733"/>
    <w:rsid w:val="004F4C22"/>
    <w:rsid w:val="005213E3"/>
    <w:rsid w:val="00536F81"/>
    <w:rsid w:val="00560A42"/>
    <w:rsid w:val="005714EF"/>
    <w:rsid w:val="005914E0"/>
    <w:rsid w:val="0059575F"/>
    <w:rsid w:val="005978CD"/>
    <w:rsid w:val="005E7D06"/>
    <w:rsid w:val="005F4C21"/>
    <w:rsid w:val="00600D2A"/>
    <w:rsid w:val="00607275"/>
    <w:rsid w:val="006179CA"/>
    <w:rsid w:val="006237E5"/>
    <w:rsid w:val="00627DF5"/>
    <w:rsid w:val="00635ABA"/>
    <w:rsid w:val="00646537"/>
    <w:rsid w:val="006562B7"/>
    <w:rsid w:val="00657578"/>
    <w:rsid w:val="006C5DEA"/>
    <w:rsid w:val="006E462F"/>
    <w:rsid w:val="006E4C52"/>
    <w:rsid w:val="006F2708"/>
    <w:rsid w:val="00711FB5"/>
    <w:rsid w:val="00717709"/>
    <w:rsid w:val="007436DC"/>
    <w:rsid w:val="00754BA6"/>
    <w:rsid w:val="007679BC"/>
    <w:rsid w:val="007A5E00"/>
    <w:rsid w:val="0080552B"/>
    <w:rsid w:val="00816187"/>
    <w:rsid w:val="008210BF"/>
    <w:rsid w:val="00842708"/>
    <w:rsid w:val="0087053B"/>
    <w:rsid w:val="00876DBC"/>
    <w:rsid w:val="00887F77"/>
    <w:rsid w:val="008B0500"/>
    <w:rsid w:val="008C6078"/>
    <w:rsid w:val="008C6477"/>
    <w:rsid w:val="008D000A"/>
    <w:rsid w:val="008D728D"/>
    <w:rsid w:val="008F3724"/>
    <w:rsid w:val="00927ED2"/>
    <w:rsid w:val="00931DAA"/>
    <w:rsid w:val="00954AF2"/>
    <w:rsid w:val="0095541D"/>
    <w:rsid w:val="00970AD6"/>
    <w:rsid w:val="00975DE4"/>
    <w:rsid w:val="0098275B"/>
    <w:rsid w:val="009838E5"/>
    <w:rsid w:val="009903D1"/>
    <w:rsid w:val="009B02AE"/>
    <w:rsid w:val="009B3B1A"/>
    <w:rsid w:val="00A26A4C"/>
    <w:rsid w:val="00A42C77"/>
    <w:rsid w:val="00A77B9D"/>
    <w:rsid w:val="00A8203B"/>
    <w:rsid w:val="00A8771F"/>
    <w:rsid w:val="00A96096"/>
    <w:rsid w:val="00A97DA1"/>
    <w:rsid w:val="00AB5703"/>
    <w:rsid w:val="00AF6F68"/>
    <w:rsid w:val="00AF716E"/>
    <w:rsid w:val="00AF7F7E"/>
    <w:rsid w:val="00B11F36"/>
    <w:rsid w:val="00B31EC9"/>
    <w:rsid w:val="00B4175B"/>
    <w:rsid w:val="00B45477"/>
    <w:rsid w:val="00B535BC"/>
    <w:rsid w:val="00B60416"/>
    <w:rsid w:val="00B63687"/>
    <w:rsid w:val="00B849A9"/>
    <w:rsid w:val="00BB56A0"/>
    <w:rsid w:val="00C00C52"/>
    <w:rsid w:val="00C55A60"/>
    <w:rsid w:val="00C75E78"/>
    <w:rsid w:val="00C947C0"/>
    <w:rsid w:val="00CF47CB"/>
    <w:rsid w:val="00D0401B"/>
    <w:rsid w:val="00D065EA"/>
    <w:rsid w:val="00D20CB1"/>
    <w:rsid w:val="00D22F7B"/>
    <w:rsid w:val="00D25F79"/>
    <w:rsid w:val="00D461A3"/>
    <w:rsid w:val="00D57141"/>
    <w:rsid w:val="00D9050D"/>
    <w:rsid w:val="00D957A8"/>
    <w:rsid w:val="00DB1806"/>
    <w:rsid w:val="00DD1754"/>
    <w:rsid w:val="00DE0753"/>
    <w:rsid w:val="00E213A5"/>
    <w:rsid w:val="00E27D0F"/>
    <w:rsid w:val="00E36B1A"/>
    <w:rsid w:val="00E44BEF"/>
    <w:rsid w:val="00E550C2"/>
    <w:rsid w:val="00E97831"/>
    <w:rsid w:val="00E978EA"/>
    <w:rsid w:val="00EC54D3"/>
    <w:rsid w:val="00EF6C2A"/>
    <w:rsid w:val="00F21F1A"/>
    <w:rsid w:val="00F66D9E"/>
    <w:rsid w:val="00F9396B"/>
    <w:rsid w:val="00F958D2"/>
    <w:rsid w:val="00FF1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ABCFA"/>
  <w15:docId w15:val="{6B48F1E6-81CC-484C-A877-78963BCA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396B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nhideWhenUsed/>
    <w:qFormat/>
    <w:rsid w:val="00E9783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396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939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F9396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9396B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F9396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9396B"/>
    <w:rPr>
      <w:rFonts w:ascii="Calibri" w:eastAsia="Calibri" w:hAnsi="Calibri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F9396B"/>
    <w:pPr>
      <w:ind w:left="720"/>
      <w:contextualSpacing/>
    </w:pPr>
  </w:style>
  <w:style w:type="character" w:customStyle="1" w:styleId="a8">
    <w:name w:val="Таблица Знак"/>
    <w:link w:val="a9"/>
    <w:uiPriority w:val="99"/>
    <w:locked/>
    <w:rsid w:val="00F9396B"/>
    <w:rPr>
      <w:rFonts w:ascii="Times New Roman" w:eastAsia="Calibri" w:hAnsi="Times New Roman" w:cs="Times New Roman"/>
      <w:kern w:val="28"/>
    </w:rPr>
  </w:style>
  <w:style w:type="paragraph" w:customStyle="1" w:styleId="a9">
    <w:name w:val="Таблица"/>
    <w:basedOn w:val="a"/>
    <w:link w:val="a8"/>
    <w:uiPriority w:val="99"/>
    <w:qFormat/>
    <w:rsid w:val="00F9396B"/>
    <w:pPr>
      <w:spacing w:after="0" w:line="240" w:lineRule="auto"/>
    </w:pPr>
    <w:rPr>
      <w:rFonts w:ascii="Times New Roman" w:hAnsi="Times New Roman"/>
      <w:kern w:val="28"/>
    </w:rPr>
  </w:style>
  <w:style w:type="paragraph" w:customStyle="1" w:styleId="aa">
    <w:name w:val="список с точками"/>
    <w:basedOn w:val="a"/>
    <w:uiPriority w:val="99"/>
    <w:semiHidden/>
    <w:rsid w:val="00F9396B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6237E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237E5"/>
    <w:rPr>
      <w:sz w:val="20"/>
      <w:szCs w:val="20"/>
    </w:rPr>
  </w:style>
  <w:style w:type="character" w:styleId="ad">
    <w:name w:val="footnote reference"/>
    <w:rsid w:val="006237E5"/>
    <w:rPr>
      <w:vertAlign w:val="superscript"/>
    </w:rPr>
  </w:style>
  <w:style w:type="paragraph" w:styleId="2">
    <w:name w:val="toc 2"/>
    <w:basedOn w:val="a"/>
    <w:next w:val="a"/>
    <w:autoRedefine/>
    <w:semiHidden/>
    <w:rsid w:val="006E4C52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97831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ae">
    <w:name w:val="Body Text Indent"/>
    <w:basedOn w:val="a"/>
    <w:link w:val="af"/>
    <w:uiPriority w:val="99"/>
    <w:unhideWhenUsed/>
    <w:rsid w:val="00D25F7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25F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3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gionz.ru/index.php?ds=126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n.org/russian/events/literacy/decl_diversity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biblio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Лев Орлов</cp:lastModifiedBy>
  <cp:revision>80</cp:revision>
  <dcterms:created xsi:type="dcterms:W3CDTF">2021-12-05T20:03:00Z</dcterms:created>
  <dcterms:modified xsi:type="dcterms:W3CDTF">2022-08-29T22:09:00Z</dcterms:modified>
</cp:coreProperties>
</file>